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malariagen/ag1000g-phase3-data-paper@232a930</w:t>
        </w:r>
      </w:hyperlink>
      <w:r>
        <w:t xml:space="preserve"> </w:t>
      </w:r>
      <w:r>
        <w:t xml:space="preserve">on August 24,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Ag1000G consortium in 23 sets by consortial partners. (chris’ line)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250.</w:t>
      </w:r>
    </w:p>
    <w:p>
      <w:pPr>
        <w:pStyle w:val="BodyText"/>
      </w:pPr>
      <w:r>
        <w:t xml:space="preserve">Full details of pipelines including all parameter settings are provided in supplementary.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the autosomal vs X coverage ratio not following the expected bimodal distribution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sample.</w:t>
      </w:r>
    </w:p>
    <w:p>
      <w:pPr>
        <w:pStyle w:val="BodyText"/>
      </w:pPr>
      <w:r>
        <w:t xml:space="preserve">In total 407 samples in were excluded in favour of better quality samples, based on skewedness of the mean vs median.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the requirements of this stage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BodyText"/>
      </w:pPr>
      <w:r>
        <w:t xml:space="preserve">Full details including exclusion thresholds are available in supplementary.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np-filtering-and-quality"/>
      <w:r>
        <w:t xml:space="preserve">SNP filtering and quality</w:t>
      </w:r>
      <w:bookmarkEnd w:id="30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Owing to DNA availability, no second technology was available for direct benchmarking.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genome annotations were used to predict the presence of mendelian error, becoming a binary classification problem.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cohort level annotations to build the initial site filters model came from these species (n=XXX).</w:t>
      </w:r>
    </w:p>
    <w:p>
      <w:pPr>
        <w:pStyle w:val="BodyText"/>
      </w:pPr>
      <w:r>
        <w:t xml:space="preserve">5 of the 15 crosses were held out for validation, so performance could be evaluated against the previous site filtering scheme.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clear unambiguous decisions, and is similar in concept to the set of filters commonly used in non-model organism genomics.</w:t>
      </w:r>
    </w:p>
    <w:p>
      <w:pPr>
        <w:pStyle w:val="BodyText"/>
      </w:pPr>
      <w:r>
        <w:t xml:space="preserve">A set of trees with different parameter settings were learned, exploring the depth of trees,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The 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50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The above definitions of PASS sites were retained, but independently over pedigrees, providing 5 distinct evaluation sets.</w:t>
      </w:r>
    </w:p>
    <w:p>
      <w:pPr>
        <w:pStyle w:val="BodyText"/>
      </w:pPr>
      <w:r>
        <w:t xml:space="preserve">Before applying the site filters, the mendelian error rate of the 5 crosses over all autosomal sites ranged between XXX and XXX (table XXX).</w:t>
      </w:r>
    </w:p>
    <w:p>
      <w:pPr>
        <w:pStyle w:val="BodyText"/>
      </w:pPr>
      <w:r>
        <w:t xml:space="preserve">The application of the site filters mask defines the accessible fraction of the genome at 70%, and reduces the mendelian error rate by a median factor of 10x on the autosomes.</w:t>
      </w:r>
    </w:p>
    <w:p>
      <w:pPr>
        <w:pStyle w:val="BodyText"/>
      </w:pPr>
      <w:r>
        <w:t xml:space="preserve">In all 5 crosses the Youden score was substantially increased by a median factor of XXX.</w:t>
      </w:r>
    </w:p>
    <w:p>
      <w:pPr>
        <w:pStyle w:val="BodyText"/>
      </w:pPr>
      <w:r>
        <w:t xml:space="preserve">Directly comparing the numbers to the phase 2 site filters, we observe similar levels of mendelian error, however the updated site filters have a substantially higher sensitivity, yielding a higher Youden score over all crosses and chromosomes.</w:t>
      </w:r>
    </w:p>
    <w:p>
      <w:pPr>
        <w:numPr>
          <w:ilvl w:val="0"/>
          <w:numId w:val="1002"/>
        </w:numPr>
      </w:pPr>
      <w:r>
        <w:t xml:space="preserve">Table A: Mendel errors per cross per chromosome.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10 rows, and 6 columns.</w:t>
      </w:r>
    </w:p>
    <w:p>
      <w:pPr>
        <w:numPr>
          <w:ilvl w:val="0"/>
          <w:numId w:val="1002"/>
        </w:numPr>
      </w:pPr>
      <w:r>
        <w:t xml:space="preserve">Table B: comparison of 3 vs 2.</w:t>
      </w:r>
      <w:r>
        <w:t xml:space="preserve"> </w:t>
      </w:r>
      <w:r>
        <w:t xml:space="preserve">row indices: as above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ie 10 rows, and 6 columns.</w:t>
      </w:r>
    </w:p>
    <w:p>
      <w:pPr>
        <w:pStyle w:val="FirstParagraph"/>
      </w:pPr>
      <w:r>
        <w:t xml:space="preserve">Site filters on arab and gamb_colu_arab.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variables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Rather than mendelian errors, on the hemizygous chromosome we can use the more direct measure of heterozygote calls in males.</w:t>
      </w:r>
    </w:p>
    <w:p>
      <w:pPr>
        <w:pStyle w:val="BodyText"/>
      </w:pPr>
      <w:r>
        <w:t xml:space="preserve">In the dataset are 220 male samples identified as gambiae/coluzzii, each of these represent an independent proxy for genotype discordance.</w:t>
      </w:r>
    </w:p>
    <w:p>
      <w:pPr>
        <w:pStyle w:val="BodyText"/>
      </w:pPr>
      <w:r>
        <w:t xml:space="preserve">Pre-application of the site filters, the median heterzygosity rate on X was 0.44%, and post filtering this drops to 0.12% (table XX).</w:t>
      </w:r>
    </w:p>
    <w:p>
      <w:pPr>
        <w:pStyle w:val="BodyText"/>
      </w:pPr>
      <w:r>
        <w:t xml:space="preserve">The median fold change in error rate was -1.74, with 69.97% of the X chromosome passing site filters.</w:t>
      </w:r>
    </w:p>
    <w:p>
      <w:pPr>
        <w:pStyle w:val="BodyText"/>
      </w:pPr>
      <w:r>
        <w:t xml:space="preserve">? (Also some measure of GQ? when applied to the X chromosome).</w:t>
      </w:r>
    </w:p>
    <w:p>
      <w:pPr>
        <w:pStyle w:val="BodyText"/>
      </w:pPr>
      <w:r>
        <w:t xml:space="preserve">? Direct comparison to the phase 2 site filters is favourable; we observe similar levels of mendelian error, but with substantially higher sensitivity, yielding a higher Youden score over all crosses and chromosomes.</w:t>
      </w:r>
    </w:p>
    <w:p>
      <w:pPr>
        <w:numPr>
          <w:ilvl w:val="0"/>
          <w:numId w:val="1003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3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TableCaption"/>
      </w:pPr>
      <w:r>
        <w:t xml:space="preserve">Result of heterozygote calls on male X chromosome</w:t>
      </w:r>
    </w:p>
    <w:tbl>
      <w:tblPr>
        <w:tblStyle w:val="Table"/>
        <w:tblW w:type="pct" w:w="4999.999999999999"/>
        <w:tblLook w:firstRow="1"/>
        <w:tblCaption w:val="Result of heterozygote calls on male X chromosome"/>
      </w:tblPr>
      <w:tblGrid>
        <w:gridCol w:w="1212"/>
        <w:gridCol w:w="856"/>
        <w:gridCol w:w="713"/>
        <w:gridCol w:w="713"/>
        <w:gridCol w:w="713"/>
        <w:gridCol w:w="713"/>
        <w:gridCol w:w="713"/>
        <w:gridCol w:w="713"/>
        <w:gridCol w:w="156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fraction_accessible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0.00476</w:t>
            </w:r>
          </w:p>
        </w:tc>
        <w:tc>
          <w:p>
            <w:pPr>
              <w:pStyle w:val="Compact"/>
              <w:jc w:val="left"/>
            </w:pPr>
            <w:r>
              <w:t xml:space="preserve">0.00285</w:t>
            </w:r>
          </w:p>
        </w:tc>
        <w:tc>
          <w:p>
            <w:pPr>
              <w:pStyle w:val="Compact"/>
              <w:jc w:val="left"/>
            </w:pPr>
            <w:r>
              <w:t xml:space="preserve">0.00402</w:t>
            </w:r>
          </w:p>
        </w:tc>
        <w:tc>
          <w:p>
            <w:pPr>
              <w:pStyle w:val="Compact"/>
              <w:jc w:val="left"/>
            </w:pPr>
            <w:r>
              <w:t xml:space="preserve">0.00444</w:t>
            </w:r>
          </w:p>
        </w:tc>
        <w:tc>
          <w:p>
            <w:pPr>
              <w:pStyle w:val="Compact"/>
              <w:jc w:val="left"/>
            </w:pPr>
            <w:r>
              <w:t xml:space="preserve">0.00522</w:t>
            </w:r>
          </w:p>
        </w:tc>
        <w:tc>
          <w:p>
            <w:pPr>
              <w:pStyle w:val="Compact"/>
              <w:jc w:val="left"/>
            </w:pPr>
            <w:r>
              <w:t xml:space="preserve">0.01342</w:t>
            </w:r>
          </w:p>
        </w:tc>
        <w:tc>
          <w:p>
            <w:pPr>
              <w:pStyle w:val="Compact"/>
              <w:jc w:val="left"/>
            </w:pPr>
            <w:r>
              <w:t xml:space="preserve">1.00000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post-filtering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0.00165</w:t>
            </w:r>
          </w:p>
        </w:tc>
        <w:tc>
          <w:p>
            <w:pPr>
              <w:pStyle w:val="Compact"/>
              <w:jc w:val="left"/>
            </w:pPr>
            <w:r>
              <w:t xml:space="preserve">0.00028</w:t>
            </w:r>
          </w:p>
        </w:tc>
        <w:tc>
          <w:p>
            <w:pPr>
              <w:pStyle w:val="Compact"/>
              <w:jc w:val="left"/>
            </w:pPr>
            <w:r>
              <w:t xml:space="preserve">0.00078</w:t>
            </w:r>
          </w:p>
        </w:tc>
        <w:tc>
          <w:p>
            <w:pPr>
              <w:pStyle w:val="Compact"/>
              <w:jc w:val="left"/>
            </w:pPr>
            <w:r>
              <w:t xml:space="preserve">0.00127</w:t>
            </w:r>
          </w:p>
        </w:tc>
        <w:tc>
          <w:p>
            <w:pPr>
              <w:pStyle w:val="Compact"/>
              <w:jc w:val="left"/>
            </w:pPr>
            <w:r>
              <w:t xml:space="preserve">0.00207</w:t>
            </w:r>
          </w:p>
        </w:tc>
        <w:tc>
          <w:p>
            <w:pPr>
              <w:pStyle w:val="Compact"/>
              <w:jc w:val="left"/>
            </w:pPr>
            <w:r>
              <w:t xml:space="preserve">0.00882</w:t>
            </w:r>
          </w:p>
        </w:tc>
        <w:tc>
          <w:p>
            <w:pPr>
              <w:pStyle w:val="Compact"/>
              <w:jc w:val="left"/>
            </w:pPr>
            <w:r>
              <w:t xml:space="preserve">0.69970</w:t>
            </w:r>
          </w:p>
        </w:tc>
      </w:tr>
    </w:tbl>
    <w:p>
      <w:pPr>
        <w:pStyle w:val="Heading3"/>
      </w:pPr>
      <w:bookmarkStart w:id="31" w:name="genome-accessibility"/>
      <w:r>
        <w:t xml:space="preserve">Genome accessibility</w:t>
      </w:r>
      <w:bookmarkEnd w:id="31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a substantially lower rate.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there is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2" w:name="snp-discovery"/>
      <w:r>
        <w:t xml:space="preserve">SNP discovery</w:t>
      </w:r>
      <w:bookmarkEnd w:id="32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3" w:name="species-assignment"/>
      <w:r>
        <w:t xml:space="preserve">Species Assignment</w:t>
      </w:r>
      <w:bookmarkEnd w:id="33"/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references"/>
      <w:r>
        <w:t xml:space="preserve">References</w:t>
      </w:r>
      <w:bookmarkEnd w:id="38"/>
    </w:p>
    <w:bookmarkStart w:id="39" w:name="refs"/>
    <w:bookmarkEnd w:id="39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232a9306563c548ee583e84af209f0416db238b1" TargetMode="External" /><Relationship Type="http://schemas.openxmlformats.org/officeDocument/2006/relationships/hyperlink" Id="rId20" Target="https://malariagen.github.io/ag1000g-phase3-data-paper/v/232a9306563c548ee583e84af209f0416db238b1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232a9306563c548ee583e84af209f0416db238b1" TargetMode="External" /><Relationship Type="http://schemas.openxmlformats.org/officeDocument/2006/relationships/hyperlink" Id="rId20" Target="https://malariagen.github.io/ag1000g-phase3-data-paper/v/232a9306563c548ee583e84af209f0416db238b1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2020-08-24T10:33:18Z</dcterms:created>
  <dcterms:modified xsi:type="dcterms:W3CDTF">2020-08-24T10:33:18Z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2020-08-24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